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19FE" w:rsidRPr="00C819FE" w:rsidRDefault="00C819FE" w:rsidP="008242E3">
      <w:pPr>
        <w:spacing w:line="276" w:lineRule="auto"/>
        <w:ind w:right="-590"/>
        <w:jc w:val="center"/>
        <w:rPr>
          <w:rFonts w:ascii="Sylfaen" w:hAnsi="Sylfaen"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color w:val="1F3864" w:themeColor="accent5" w:themeShade="80"/>
          <w:sz w:val="28"/>
          <w:szCs w:val="24"/>
          <w:lang w:val="ka-GE"/>
        </w:rPr>
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</w:r>
    </w:p>
    <w:p w:rsidR="00C819FE" w:rsidRPr="00C819FE" w:rsidRDefault="00C819FE" w:rsidP="008242E3">
      <w:pPr>
        <w:spacing w:line="276" w:lineRule="auto"/>
        <w:ind w:left="-644" w:right="-590"/>
        <w:jc w:val="center"/>
        <w:rPr>
          <w:rFonts w:ascii="Sylfaen" w:hAnsi="Sylfaen"/>
          <w:b/>
          <w:color w:val="000000" w:themeColor="text1"/>
          <w:sz w:val="28"/>
          <w:szCs w:val="24"/>
          <w:lang w:val="ka-GE"/>
        </w:rPr>
      </w:pPr>
      <w:r w:rsidRPr="00C819FE">
        <w:rPr>
          <w:rFonts w:ascii="Sylfaen" w:hAnsi="Sylfaen"/>
          <w:b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09ABD2" wp14:editId="68114F09">
                <wp:simplePos x="0" y="0"/>
                <wp:positionH relativeFrom="column">
                  <wp:posOffset>-3724275</wp:posOffset>
                </wp:positionH>
                <wp:positionV relativeFrom="paragraph">
                  <wp:posOffset>351790</wp:posOffset>
                </wp:positionV>
                <wp:extent cx="8810625" cy="247650"/>
                <wp:effectExtent l="0" t="0" r="0" b="0"/>
                <wp:wrapNone/>
                <wp:docPr id="2" name="Arc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10625" cy="247650"/>
                        </a:xfrm>
                        <a:prstGeom prst="arc">
                          <a:avLst>
                            <a:gd name="adj1" fmla="val 16200000"/>
                            <a:gd name="adj2" fmla="val 52609"/>
                          </a:avLst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1D24B5" id="Arc 2" o:spid="_x0000_s1026" style="position:absolute;margin-left:-293.25pt;margin-top:27.7pt;width:693.7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8810625,2476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" path="m4405313,nsl4530996,50c7816873,2686,9846234,101890,8274271,183038l4405313,123825,4405313,xem4405313,nfl4530996,50c7816873,2686,9846234,101890,8274271,183038e" filled="f" strokecolor="#5b9bd5 [3204]" strokeweight=".5pt">
                <v:stroke joinstyle="miter"/>
                <v:path arrowok="t" o:connecttype="custom" o:connectlocs="4405313,0;4530996,50;8274271,183038" o:connectangles="0,0,0"/>
              </v:shape>
            </w:pict>
          </mc:Fallback>
        </mc:AlternateContent>
      </w: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>საკომუნიკაციო საკითხები და სპიკერები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  <w:r w:rsidRPr="00C819FE"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  <w:t xml:space="preserve">                        </w:t>
      </w: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8242E3" w:rsidRDefault="005112A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  </w:t>
      </w:r>
      <w:r w:rsidR="00E3264D"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სამინისტრო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საზოგადოებასთან, მედიასთან და სხვა დაინტერესებულ მხარეებთან ღია და გამჭვირვალე კომუნიკაციის მიზნით იწყებს საკომუნიკაციო პლატფორმის ამოქმედებას. პლატფორმა ითვალისწინებს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ინტენსიურ კომუნიკაციას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>სხვადასხვა საშუალებებით (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</w:t>
      </w:r>
      <w:r w:rsidRPr="005112AE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პირისპირ შეხვედრები, მედიასთან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ურთიერთობა, ელექტორნული კომუ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ნიკაცია და სხვა). საკომუნიკაციო პლატფორმა ითვალისწინებს 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სამიზნე ჯგუფებთან ურთიერთობის პროცესში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სამინისტროს და მასთან დაქვემდებარებული სამსახურების თანამშრომლების უშუალო ჩართულობას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 </w:t>
      </w:r>
      <w:r w:rsidR="008242E3">
        <w:rPr>
          <w:rFonts w:ascii="Sylfaen" w:hAnsi="Sylfaen"/>
          <w:color w:val="000000" w:themeColor="text1"/>
          <w:sz w:val="24"/>
          <w:szCs w:val="24"/>
          <w:lang w:val="ka-GE"/>
        </w:rPr>
        <w:t>. დროული და ხარისხიანი კომუნიკაციისთვის მიზანშეწონილია, აქტუალურ საკითხებზე სასაუბროდ წინასწარვე შეირჩეს შესაბამისი სპიკერი/სპიკერები, რომლებიც მუდმივად იქნებიან ჩართულნი საკომუნიკაციო აქტივობებში.</w:t>
      </w:r>
    </w:p>
    <w:p w:rsidR="008242E3" w:rsidRDefault="008242E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სპიკერის შერჩევის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ძირითადი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კრიტერიუმებია:</w:t>
      </w:r>
    </w:p>
    <w:p w:rsidR="00E3264D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კომპეტენტურობა და საკითხის სიღრმისეული ცოდნა;</w:t>
      </w:r>
    </w:p>
    <w:p w:rsidR="008242E3" w:rsidRDefault="008242E3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ინფორმაციის 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სწორად </w:t>
      </w:r>
      <w:r>
        <w:rPr>
          <w:rFonts w:ascii="Sylfaen" w:hAnsi="Sylfaen"/>
          <w:color w:val="000000" w:themeColor="text1"/>
          <w:sz w:val="24"/>
          <w:szCs w:val="24"/>
          <w:lang w:val="ka-GE"/>
        </w:rPr>
        <w:t>გადმოცემის ძლიერი უნარი</w:t>
      </w:r>
      <w:r w:rsidR="00E41A81">
        <w:rPr>
          <w:rFonts w:ascii="Sylfaen" w:hAnsi="Sylfaen"/>
          <w:color w:val="000000" w:themeColor="text1"/>
          <w:sz w:val="24"/>
          <w:szCs w:val="24"/>
          <w:lang w:val="ka-GE"/>
        </w:rPr>
        <w:t>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თანმიმდევრული აზროვნება და  მეტყველება;</w:t>
      </w:r>
    </w:p>
    <w:p w:rsidR="00E41A81" w:rsidRDefault="00E41A81" w:rsidP="008242E3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კრიტიკულ კითხვებზე და საკითხებზე ეფექტიანი რეაგირების უნარი;</w:t>
      </w:r>
    </w:p>
    <w:p w:rsidR="00E41A81" w:rsidRDefault="00E41A81" w:rsidP="00E41A81">
      <w:pPr>
        <w:pStyle w:val="ListParagraph"/>
        <w:numPr>
          <w:ilvl w:val="0"/>
          <w:numId w:val="3"/>
        </w:num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>
        <w:rPr>
          <w:rFonts w:ascii="Sylfaen" w:hAnsi="Sylfaen"/>
          <w:color w:val="000000" w:themeColor="text1"/>
          <w:sz w:val="24"/>
          <w:szCs w:val="24"/>
          <w:lang w:val="ka-GE"/>
        </w:rPr>
        <w:t>მედიასთან და საზოგადოებასთან ურთიერთობის გამოცდილება;</w:t>
      </w:r>
    </w:p>
    <w:p w:rsidR="00E41A81" w:rsidRDefault="00E41A81" w:rsidP="00E41A81">
      <w:pPr>
        <w:pStyle w:val="ListParagraph"/>
        <w:spacing w:line="276" w:lineRule="auto"/>
        <w:ind w:left="135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Pr="00E41A81" w:rsidRDefault="00E41A81" w:rsidP="00E41A81">
      <w:pPr>
        <w:pStyle w:val="ListParagraph"/>
        <w:spacing w:line="276" w:lineRule="auto"/>
        <w:ind w:left="-851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E41A81">
        <w:rPr>
          <w:rFonts w:ascii="Sylfaen" w:hAnsi="Sylfaen"/>
          <w:color w:val="000000" w:themeColor="text1"/>
          <w:sz w:val="24"/>
          <w:szCs w:val="24"/>
          <w:lang w:val="ka-GE"/>
        </w:rPr>
        <w:t xml:space="preserve">საკითხის აქტუალობიდან გამომდინარე, შესაძლებელია შერჩეული სპიკერის ნაცვლად კომუნიკაცია განახორციელოს საქართველოს ოკუპირებული ტერიტორიებიდან დევნილთა, შრომის, ჯანმრთელობისა და სოციალური დაცვის მინისტრმა ან მისმა მოადგილეებმა საჭიროების შესაბამისად. </w:t>
      </w:r>
    </w:p>
    <w:p w:rsidR="00375927" w:rsidRDefault="00375927" w:rsidP="00375927">
      <w:pPr>
        <w:spacing w:line="276" w:lineRule="auto"/>
        <w:ind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41A81" w:rsidRDefault="00E41A81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E3264D" w:rsidRPr="00C819FE" w:rsidRDefault="00E3264D" w:rsidP="003B516D">
      <w:pPr>
        <w:spacing w:line="276" w:lineRule="auto"/>
        <w:ind w:left="-644" w:right="-590"/>
        <w:rPr>
          <w:rFonts w:ascii="Sylfaen" w:hAnsi="Sylfaen"/>
          <w:b/>
          <w:color w:val="1F3864" w:themeColor="accent5" w:themeShade="80"/>
          <w:sz w:val="28"/>
          <w:szCs w:val="24"/>
          <w:lang w:val="ka-GE"/>
        </w:rPr>
      </w:pPr>
    </w:p>
    <w:p w:rsidR="00C819FE" w:rsidRPr="00C819FE" w:rsidRDefault="00E41A81" w:rsidP="003B516D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85075B">
        <w:rPr>
          <w:rFonts w:ascii="Sylfaen" w:hAnsi="Sylfaen"/>
          <w:noProof/>
          <w:color w:val="4472C4" w:themeColor="accent5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4F83F1" wp14:editId="66859B6D">
                <wp:simplePos x="0" y="0"/>
                <wp:positionH relativeFrom="column">
                  <wp:posOffset>-695325</wp:posOffset>
                </wp:positionH>
                <wp:positionV relativeFrom="paragraph">
                  <wp:posOffset>-262255</wp:posOffset>
                </wp:positionV>
                <wp:extent cx="1647825" cy="685800"/>
                <wp:effectExtent l="0" t="0" r="28575" b="1905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47825" cy="685800"/>
                        </a:xfrm>
                        <a:prstGeom prst="ellipse">
                          <a:avLst/>
                        </a:prstGeom>
                        <a:noFill/>
                        <a:ln w="25400">
                          <a:solidFill>
                            <a:srgbClr val="009999"/>
                          </a:solidFill>
                        </a:ln>
                        <a:effectLst>
                          <a:reflection endPos="0" dist="50800" dir="5400000" sy="-100000" algn="bl" rotWithShape="0"/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0D8B4CC" id="Oval 1" o:spid="_x0000_s1026" style="position:absolute;margin-left:-54.75pt;margin-top:-20.65pt;width:129.75pt;height:5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" filled="f" strokecolor="#099" strokeweight="2pt">
                <v:stroke joinstyle="miter"/>
              </v:oval>
            </w:pict>
          </mc:Fallback>
        </mc:AlternateContent>
      </w:r>
      <w:r w:rsidR="008242E3">
        <w:rPr>
          <w:rFonts w:ascii="Sylfaen" w:hAnsi="Sylfaen"/>
          <w:b/>
          <w:color w:val="C00000"/>
          <w:sz w:val="28"/>
          <w:szCs w:val="24"/>
          <w:lang w:val="ka-GE"/>
        </w:rPr>
        <w:t xml:space="preserve">   </w:t>
      </w:r>
      <w:r>
        <w:rPr>
          <w:rFonts w:ascii="Sylfaen" w:hAnsi="Sylfaen"/>
          <w:b/>
          <w:color w:val="C00000"/>
          <w:sz w:val="28"/>
          <w:szCs w:val="24"/>
          <w:lang w:val="ka-GE"/>
        </w:rPr>
        <w:t>ჯანდაცვა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W w:w="10967" w:type="dxa"/>
        <w:tblInd w:w="-644" w:type="dxa"/>
        <w:tblLook w:val="04A0" w:firstRow="1" w:lastRow="0" w:firstColumn="1" w:lastColumn="0" w:noHBand="0" w:noVBand="1"/>
      </w:tblPr>
      <w:tblGrid>
        <w:gridCol w:w="3758"/>
        <w:gridCol w:w="3553"/>
        <w:gridCol w:w="3656"/>
      </w:tblGrid>
      <w:tr w:rsidR="00C819FE" w:rsidTr="00567563">
        <w:trPr>
          <w:trHeight w:val="989"/>
        </w:trPr>
        <w:tc>
          <w:tcPr>
            <w:tcW w:w="3758" w:type="dxa"/>
            <w:shd w:val="clear" w:color="auto" w:fill="00928F"/>
          </w:tcPr>
          <w:p w:rsid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            </w:t>
            </w:r>
            <w:r w:rsidRPr="00C819FE">
              <w:rPr>
                <w:rFonts w:ascii="Sylfaen" w:hAnsi="Sylfaen"/>
                <w:b/>
                <w:color w:val="2F5496" w:themeColor="accent5" w:themeShade="BF"/>
                <w:sz w:val="28"/>
                <w:szCs w:val="24"/>
                <w:lang w:val="ka-GE"/>
              </w:rPr>
              <w:t xml:space="preserve">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საკითხი</w:t>
            </w:r>
          </w:p>
        </w:tc>
        <w:tc>
          <w:tcPr>
            <w:tcW w:w="3553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C819FE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    </w:t>
            </w:r>
            <w:r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="004B41C7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სპიკერები</w:t>
            </w:r>
          </w:p>
        </w:tc>
        <w:tc>
          <w:tcPr>
            <w:tcW w:w="3656" w:type="dxa"/>
            <w:shd w:val="clear" w:color="auto" w:fill="00928F"/>
          </w:tcPr>
          <w:p w:rsidR="00C819FE" w:rsidRPr="00C819FE" w:rsidRDefault="00C819FE" w:rsidP="00C819FE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C819FE" w:rsidRPr="00C819FE" w:rsidRDefault="00567563" w:rsidP="00C819F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 w:rsidR="00C819FE" w:rsidRPr="00C819F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საყოველთაო ჯანდაცვა</w:t>
            </w:r>
          </w:p>
        </w:tc>
        <w:tc>
          <w:tcPr>
            <w:tcW w:w="3553" w:type="dxa"/>
          </w:tcPr>
          <w:p w:rsidR="00C819FE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802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სოფლის ექიმები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C819FE" w:rsidRDefault="00C819FE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სასწრაფო დახმარება</w:t>
            </w:r>
            <w:r w:rsidR="00BA1FF6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/საგანგებო სიტუაციები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პირველადი ჯანდაცვა</w:t>
            </w:r>
          </w:p>
        </w:tc>
        <w:tc>
          <w:tcPr>
            <w:tcW w:w="3553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731"/>
        </w:trPr>
        <w:tc>
          <w:tcPr>
            <w:tcW w:w="3758" w:type="dxa"/>
          </w:tcPr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ელექტრონული ჯანდაცვა</w:t>
            </w:r>
          </w:p>
          <w:p w:rsidR="004B41C7" w:rsidRP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დიპლომისშემდგომი </w:t>
            </w:r>
          </w:p>
          <w:p w:rsidR="00C819FE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განათლება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819FE" w:rsidTr="00BA1FF6">
        <w:trPr>
          <w:trHeight w:val="989"/>
        </w:trPr>
        <w:tc>
          <w:tcPr>
            <w:tcW w:w="3758" w:type="dxa"/>
          </w:tcPr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სამედიცინო დაწესებულებების </w:t>
            </w:r>
          </w:p>
          <w:p w:rsidR="004B41C7" w:rsidRDefault="004B41C7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კონტროლი</w:t>
            </w:r>
          </w:p>
        </w:tc>
        <w:tc>
          <w:tcPr>
            <w:tcW w:w="3553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C819FE" w:rsidRDefault="00C819FE" w:rsidP="003B516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30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სამედიცინო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დედათა და ბავშვთა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ჯანმრთელობა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3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ჯანმრთელობითი განათლება 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ჯანმრთელობის ხელშეწყობა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852"/>
        </w:trPr>
        <w:tc>
          <w:tcPr>
            <w:tcW w:w="3758" w:type="dxa"/>
          </w:tcPr>
          <w:p w:rsidR="004B41C7" w:rsidRP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ფარმაცევტული საქმიანობა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4B41C7" w:rsidTr="00BA1FF6">
        <w:trPr>
          <w:trHeight w:val="989"/>
        </w:trPr>
        <w:tc>
          <w:tcPr>
            <w:tcW w:w="3758" w:type="dxa"/>
          </w:tcPr>
          <w:p w:rsidR="004B41C7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ფსიქიკური ჯანმრთელობა და ნარკომანია</w:t>
            </w:r>
          </w:p>
        </w:tc>
        <w:tc>
          <w:tcPr>
            <w:tcW w:w="3553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4B41C7" w:rsidRDefault="004B41C7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</w:rPr>
              <w:t xml:space="preserve">C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ჰეპატიტი/აივ ინფექცია</w:t>
            </w:r>
          </w:p>
          <w:p w:rsidR="00BA1FF6" w:rsidRPr="00BA1FF6" w:rsidRDefault="00BA1FF6" w:rsidP="00BA1FF6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შიდსი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ქრონიკული მედიკამენტების პროგრამა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იმუნიზაცია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08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ტუბერკულოზი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6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 სკრინინგი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844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ონკოლოგია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00"/>
        </w:trPr>
        <w:tc>
          <w:tcPr>
            <w:tcW w:w="3758" w:type="dxa"/>
          </w:tcPr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იურიდიული საკითხები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დაავადებათა</w:t>
            </w:r>
          </w:p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ეპიდემიური სიტუაციები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არაგადამდები დაავადებები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780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ჯანდაცვის სხვადასხვა </w:t>
            </w:r>
          </w:p>
          <w:p w:rsidR="00BA1FF6" w:rsidRP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</w:t>
            </w:r>
            <w:r w:rsidR="004B49CE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სერვისები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BA1FF6" w:rsidTr="00BA1FF6">
        <w:trPr>
          <w:trHeight w:val="989"/>
        </w:trPr>
        <w:tc>
          <w:tcPr>
            <w:tcW w:w="3758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პროგრამები (გთხოვთ დაამატოთ საჭიროებისამებრ)</w:t>
            </w:r>
          </w:p>
        </w:tc>
        <w:tc>
          <w:tcPr>
            <w:tcW w:w="3553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56" w:type="dxa"/>
          </w:tcPr>
          <w:p w:rsidR="00BA1FF6" w:rsidRDefault="00BA1FF6" w:rsidP="004B41C7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:rsidR="00D22E82" w:rsidRDefault="00D22E82" w:rsidP="00D22E82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E41A81" w:rsidRDefault="00E41A81" w:rsidP="00D22E82">
      <w:pPr>
        <w:spacing w:line="276" w:lineRule="auto"/>
        <w:ind w:right="-590"/>
        <w:rPr>
          <w:rFonts w:ascii="Sylfaen" w:hAnsi="Sylfaen" w:cs="Sylfaen"/>
          <w:b/>
          <w:color w:val="C00000"/>
          <w:sz w:val="28"/>
          <w:szCs w:val="24"/>
          <w:lang w:val="ka-GE"/>
        </w:rPr>
      </w:pPr>
    </w:p>
    <w:p w:rsidR="004B49CE" w:rsidRPr="00D22E82" w:rsidRDefault="00E41A81" w:rsidP="00D22E82">
      <w:pPr>
        <w:spacing w:line="276" w:lineRule="auto"/>
        <w:ind w:right="-590"/>
        <w:rPr>
          <w:rFonts w:ascii="Sylfaen" w:hAnsi="Sylfaen"/>
          <w:b/>
          <w:color w:val="C00000"/>
          <w:sz w:val="28"/>
          <w:szCs w:val="24"/>
          <w:lang w:val="ka-GE"/>
        </w:rPr>
      </w:pPr>
      <w:r w:rsidRPr="00AA4EDD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C1683" wp14:editId="01C84655">
                <wp:simplePos x="0" y="0"/>
                <wp:positionH relativeFrom="column">
                  <wp:posOffset>-476250</wp:posOffset>
                </wp:positionH>
                <wp:positionV relativeFrom="paragraph">
                  <wp:posOffset>-210820</wp:posOffset>
                </wp:positionV>
                <wp:extent cx="1733550" cy="723900"/>
                <wp:effectExtent l="19050" t="19050" r="19050" b="1905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3550" cy="72390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chemeClr val="accent6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E6A08A7" id="Oval 4" o:spid="_x0000_s1026" style="position:absolute;margin-left:-37.5pt;margin-top:-16.6pt;width:136.5pt;height:5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" filled="f" strokecolor="#538135 [2409]" strokeweight="2.25pt">
                <v:stroke joinstyle="miter"/>
              </v:oval>
            </w:pict>
          </mc:Fallback>
        </mc:AlternateContent>
      </w:r>
      <w:r w:rsidR="004B49CE" w:rsidRPr="00D22E82">
        <w:rPr>
          <w:rFonts w:ascii="Sylfaen" w:hAnsi="Sylfaen" w:cs="Sylfaen"/>
          <w:b/>
          <w:color w:val="C00000"/>
          <w:sz w:val="28"/>
          <w:szCs w:val="24"/>
          <w:lang w:val="ka-GE"/>
        </w:rPr>
        <w:t>სოციალური</w:t>
      </w:r>
      <w:r w:rsidR="004B49CE" w:rsidRPr="00D22E82">
        <w:rPr>
          <w:rFonts w:ascii="Sylfaen" w:hAnsi="Sylfaen"/>
          <w:b/>
          <w:color w:val="C00000"/>
          <w:sz w:val="28"/>
          <w:szCs w:val="24"/>
          <w:lang w:val="ka-GE"/>
        </w:rPr>
        <w:t xml:space="preserve"> </w:t>
      </w:r>
    </w:p>
    <w:p w:rsidR="00C819FE" w:rsidRPr="00BA1FF6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tbl>
      <w:tblPr>
        <w:tblStyle w:val="TableGrid"/>
        <w:tblpPr w:leftFromText="180" w:rightFromText="180" w:vertAnchor="text" w:horzAnchor="page" w:tblpX="582" w:tblpY="304"/>
        <w:tblW w:w="11052" w:type="dxa"/>
        <w:tblLook w:val="04A0" w:firstRow="1" w:lastRow="0" w:firstColumn="1" w:lastColumn="0" w:noHBand="0" w:noVBand="1"/>
      </w:tblPr>
      <w:tblGrid>
        <w:gridCol w:w="4106"/>
        <w:gridCol w:w="3256"/>
        <w:gridCol w:w="3690"/>
      </w:tblGrid>
      <w:tr w:rsidR="00D22E82" w:rsidTr="00D22E82">
        <w:trPr>
          <w:trHeight w:val="842"/>
        </w:trPr>
        <w:tc>
          <w:tcPr>
            <w:tcW w:w="4106" w:type="dxa"/>
            <w:shd w:val="clear" w:color="auto" w:fill="6CA644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</w:t>
            </w: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საკითხი </w:t>
            </w:r>
          </w:p>
        </w:tc>
        <w:tc>
          <w:tcPr>
            <w:tcW w:w="3256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       სპიკერები</w:t>
            </w:r>
          </w:p>
        </w:tc>
        <w:tc>
          <w:tcPr>
            <w:tcW w:w="3690" w:type="dxa"/>
            <w:shd w:val="clear" w:color="auto" w:fill="649A40"/>
          </w:tcPr>
          <w:p w:rsidR="004B49CE" w:rsidRP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</w:p>
          <w:p w:rsidR="004B49CE" w:rsidRPr="004B49CE" w:rsidRDefault="00567563" w:rsidP="004B49CE">
            <w:pPr>
              <w:spacing w:line="276" w:lineRule="auto"/>
              <w:ind w:right="-590"/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    </w:t>
            </w:r>
            <w:r w:rsidR="004B49CE" w:rsidRPr="004B49CE"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FFFFFF" w:themeColor="background1"/>
                <w:sz w:val="28"/>
                <w:szCs w:val="24"/>
                <w:lang w:val="ka-GE"/>
              </w:rPr>
              <w:t xml:space="preserve"> (თანამდებობა)</w:t>
            </w:r>
          </w:p>
        </w:tc>
      </w:tr>
      <w:tr w:rsidR="005C5C88" w:rsidTr="00D22E82">
        <w:trPr>
          <w:trHeight w:val="2116"/>
        </w:trPr>
        <w:tc>
          <w:tcPr>
            <w:tcW w:w="4106" w:type="dxa"/>
          </w:tcPr>
          <w:p w:rsidR="004B49CE" w:rsidRDefault="004B49CE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სოციალურად დაუცველთა </w:t>
            </w:r>
          </w:p>
          <w:p w:rsidR="00D22E82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საკითხები (შეფასება; ფულადი გასაცემელი; დასაქმება; </w:t>
            </w: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საზოგადოებაში ინტეგრაცია </w:t>
            </w:r>
          </w:p>
          <w:p w:rsidR="004B49CE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980"/>
        </w:trPr>
        <w:tc>
          <w:tcPr>
            <w:tcW w:w="410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სახელმწიფო პენსია 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137"/>
        </w:trPr>
        <w:tc>
          <w:tcPr>
            <w:tcW w:w="4106" w:type="dxa"/>
          </w:tcPr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შშმ პირებთან </w:t>
            </w:r>
          </w:p>
          <w:p w:rsidR="004B49CE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დაკავშირებული სხვადასხვა</w:t>
            </w:r>
          </w:p>
          <w:p w:rsidR="005C5C88" w:rsidRDefault="005C5C88" w:rsidP="005C5C88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საკითხები (პენსია; სტატუსი;უფლებები;</w:t>
            </w:r>
            <w:r w:rsidR="00D22E8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სათემო ორგანიზაციები;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სერვისები)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369"/>
        </w:trPr>
        <w:tc>
          <w:tcPr>
            <w:tcW w:w="4106" w:type="dxa"/>
          </w:tcPr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სახელმწიფო გასაცემლები</w:t>
            </w: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(სუბსიდია; კომპენსაცია; </w:t>
            </w:r>
          </w:p>
          <w:p w:rsidR="004B49CE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ვეტერანთა გასაცემელი</w:t>
            </w:r>
            <w:r w:rsidR="00567563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და სხვა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5C5C88" w:rsidTr="00D22E82">
        <w:trPr>
          <w:trHeight w:val="1566"/>
        </w:trPr>
        <w:tc>
          <w:tcPr>
            <w:tcW w:w="4106" w:type="dxa"/>
          </w:tcPr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ბავშვთა ჯანმრთელობის </w:t>
            </w:r>
          </w:p>
          <w:p w:rsidR="004B49CE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პროგრამები (რეაბილიტაცია/აბილიტაცია;</w:t>
            </w:r>
          </w:p>
          <w:p w:rsidR="005C5C88" w:rsidRDefault="005C5C88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ადრეული განვითარება და სხვა)</w:t>
            </w:r>
          </w:p>
        </w:tc>
        <w:tc>
          <w:tcPr>
            <w:tcW w:w="3256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4B49CE" w:rsidRDefault="004B49CE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ბავშვის შვილად აყვანა/გაშვილება/</w:t>
            </w: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მეურვეობა-მზრუნველობა/</w:t>
            </w:r>
          </w:p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ბავშვთა სოციალური საკითხები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(მიუსაფარი; ქუჩაში მცხოვრები 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და მომუშავე; ძალადობის 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მსხვერპლი; შიმშილის რისკი; თავშესაფრები, დღის ცენტრები და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ინსტიტუციები; სოციალური სამუშაო; მინდობით აღზრდა; რეინტეგრაცია და სხვა)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321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ადამიანით ვაჭრობა და ძალადობა</w:t>
            </w:r>
          </w:p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321"/>
        </w:trPr>
        <w:tc>
          <w:tcPr>
            <w:tcW w:w="4106" w:type="dxa"/>
          </w:tcPr>
          <w:p w:rsidR="00D22E82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დემოგრაფიული საკითხები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C12B1A" w:rsidTr="00D22E82">
        <w:trPr>
          <w:trHeight w:val="1566"/>
        </w:trPr>
        <w:tc>
          <w:tcPr>
            <w:tcW w:w="4106" w:type="dxa"/>
          </w:tcPr>
          <w:p w:rsidR="00C12B1A" w:rsidRDefault="00D22E82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სიღარიბესთან დაკავშირებული საკითხები</w:t>
            </w:r>
          </w:p>
        </w:tc>
        <w:tc>
          <w:tcPr>
            <w:tcW w:w="3256" w:type="dxa"/>
          </w:tcPr>
          <w:p w:rsidR="00C12B1A" w:rsidRDefault="00C12B1A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C12B1A" w:rsidRDefault="00C12B1A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  <w:tr w:rsidR="00D22E82" w:rsidTr="00D22E82">
        <w:trPr>
          <w:trHeight w:val="1566"/>
        </w:trPr>
        <w:tc>
          <w:tcPr>
            <w:tcW w:w="4106" w:type="dxa"/>
          </w:tcPr>
          <w:p w:rsidR="00567563" w:rsidRDefault="00567563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სხვა საკითხები</w:t>
            </w:r>
          </w:p>
          <w:p w:rsidR="00D22E82" w:rsidRDefault="00567563" w:rsidP="00D22E82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(გთხოვთ მიუთითოთ დამატებითი საკითხები საჭიროებისამებრ)</w:t>
            </w:r>
          </w:p>
        </w:tc>
        <w:tc>
          <w:tcPr>
            <w:tcW w:w="3256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690" w:type="dxa"/>
          </w:tcPr>
          <w:p w:rsidR="00D22E82" w:rsidRDefault="00D22E82" w:rsidP="004B49CE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E41A81" w:rsidRDefault="00E41A81" w:rsidP="008242E3">
      <w:pPr>
        <w:spacing w:line="276" w:lineRule="auto"/>
        <w:ind w:left="-644" w:right="-590"/>
        <w:rPr>
          <w:rFonts w:ascii="Sylfaen" w:hAnsi="Sylfaen"/>
          <w:b/>
          <w:color w:val="C00000"/>
          <w:sz w:val="28"/>
          <w:szCs w:val="26"/>
          <w:lang w:val="ka-GE"/>
        </w:rPr>
      </w:pPr>
    </w:p>
    <w:p w:rsidR="00567563" w:rsidRPr="00567563" w:rsidRDefault="008242E3" w:rsidP="008242E3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color w:val="C00000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857FCD" wp14:editId="3484CB1E">
                <wp:simplePos x="0" y="0"/>
                <wp:positionH relativeFrom="column">
                  <wp:posOffset>-619125</wp:posOffset>
                </wp:positionH>
                <wp:positionV relativeFrom="paragraph">
                  <wp:posOffset>-219710</wp:posOffset>
                </wp:positionV>
                <wp:extent cx="1685925" cy="742950"/>
                <wp:effectExtent l="19050" t="19050" r="28575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85925" cy="742950"/>
                        </a:xfrm>
                        <a:prstGeom prst="ellipse">
                          <a:avLst/>
                        </a:prstGeom>
                        <a:noFill/>
                        <a:ln w="28575">
                          <a:solidFill>
                            <a:srgbClr val="FFCC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51F1CAB" id="Oval 5" o:spid="_x0000_s1026" style="position:absolute;margin-left:-48.75pt;margin-top:-17.3pt;width:132.75pt;height:5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" filled="f" strokecolor="#fc0" strokeweight="2.25pt">
                <v:stroke joinstyle="miter"/>
              </v:oval>
            </w:pict>
          </mc:Fallback>
        </mc:AlternateContent>
      </w:r>
      <w:r w:rsidR="00567563" w:rsidRPr="00AA0076">
        <w:rPr>
          <w:rFonts w:ascii="Sylfaen" w:hAnsi="Sylfaen"/>
          <w:b/>
          <w:color w:val="C00000"/>
          <w:sz w:val="28"/>
          <w:szCs w:val="26"/>
          <w:lang w:val="ka-GE"/>
        </w:rPr>
        <w:t>შრომა/დასაქმება</w:t>
      </w: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1307" w:type="dxa"/>
        <w:tblLook w:val="04A0" w:firstRow="1" w:lastRow="0" w:firstColumn="1" w:lastColumn="0" w:noHBand="0" w:noVBand="1"/>
      </w:tblPr>
      <w:tblGrid>
        <w:gridCol w:w="3654"/>
        <w:gridCol w:w="2934"/>
        <w:gridCol w:w="4719"/>
      </w:tblGrid>
      <w:tr w:rsidR="00567563" w:rsidRPr="00567563" w:rsidTr="006214E9">
        <w:trPr>
          <w:trHeight w:val="1122"/>
        </w:trPr>
        <w:tc>
          <w:tcPr>
            <w:tcW w:w="3654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     საკითხი</w:t>
            </w:r>
          </w:p>
        </w:tc>
        <w:tc>
          <w:tcPr>
            <w:tcW w:w="2934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404040" w:themeColor="text1" w:themeTint="BF"/>
                <w:sz w:val="32"/>
                <w:szCs w:val="24"/>
              </w:rPr>
            </w:pPr>
          </w:p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        სპიკერები</w:t>
            </w:r>
          </w:p>
        </w:tc>
        <w:tc>
          <w:tcPr>
            <w:tcW w:w="4719" w:type="dxa"/>
            <w:shd w:val="clear" w:color="auto" w:fill="F6C700"/>
          </w:tcPr>
          <w:p w:rsidR="00567563" w:rsidRP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</w:p>
          <w:p w:rsidR="00567563" w:rsidRP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 xml:space="preserve"> </w:t>
            </w:r>
            <w:r w:rsidR="00567563" w:rsidRPr="00567563"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პოზიცია</w:t>
            </w:r>
            <w:r>
              <w:rPr>
                <w:rFonts w:ascii="Sylfaen" w:hAnsi="Sylfaen"/>
                <w:b/>
                <w:color w:val="404040" w:themeColor="text1" w:themeTint="BF"/>
                <w:sz w:val="32"/>
                <w:szCs w:val="24"/>
                <w:lang w:val="ka-GE"/>
              </w:rPr>
              <w:t>(თანამდებობა)</w:t>
            </w:r>
          </w:p>
        </w:tc>
      </w:tr>
      <w:tr w:rsidR="00BD6A44" w:rsidRPr="00567563" w:rsidTr="006214E9">
        <w:trPr>
          <w:trHeight w:val="1704"/>
        </w:trPr>
        <w:tc>
          <w:tcPr>
            <w:tcW w:w="3654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24"/>
                <w:szCs w:val="24"/>
                <w:lang w:val="ka-GE"/>
              </w:rPr>
            </w:pP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 პირობები;</w:t>
            </w:r>
          </w:p>
          <w:p w:rsid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უსაფრთხოება; ინსპექტირება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(უბედური შემთხვევები)</w:t>
            </w:r>
          </w:p>
          <w:p w:rsidR="00DB23C2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934" w:type="dxa"/>
          </w:tcPr>
          <w:p w:rsidR="00567563" w:rsidRPr="004A09F9" w:rsidRDefault="004A09F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A09F9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ბექა ფერაძე</w:t>
            </w:r>
          </w:p>
        </w:tc>
        <w:tc>
          <w:tcPr>
            <w:tcW w:w="4719" w:type="dxa"/>
          </w:tcPr>
          <w:p w:rsidR="00567563" w:rsidRPr="004A09F9" w:rsidRDefault="004A09F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4A09F9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 პირობების ინსპექტირების დეპარტამენტის უფროსი</w:t>
            </w:r>
          </w:p>
        </w:tc>
      </w:tr>
      <w:tr w:rsidR="00BD6A44" w:rsidTr="006214E9">
        <w:trPr>
          <w:trHeight w:val="1087"/>
        </w:trPr>
        <w:tc>
          <w:tcPr>
            <w:tcW w:w="3654" w:type="dxa"/>
          </w:tcPr>
          <w:p w:rsidR="00567563" w:rsidRPr="00DB23C2" w:rsidRDefault="00DB23C2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შრომითი უფლებები/შრომითი დავები</w:t>
            </w:r>
          </w:p>
        </w:tc>
        <w:tc>
          <w:tcPr>
            <w:tcW w:w="2934" w:type="dxa"/>
          </w:tcPr>
          <w:p w:rsidR="00567563" w:rsidRPr="006214E9" w:rsidRDefault="006214E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პაატა ჟორჟოლიანი</w:t>
            </w:r>
          </w:p>
        </w:tc>
        <w:tc>
          <w:tcPr>
            <w:tcW w:w="4719" w:type="dxa"/>
          </w:tcPr>
          <w:p w:rsidR="00567563" w:rsidRDefault="006214E9" w:rsidP="00567563">
            <w:pPr>
              <w:spacing w:line="276" w:lineRule="auto"/>
              <w:ind w:right="-590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შრომისა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 დეპარტამენტის უფროსის</w:t>
            </w:r>
          </w:p>
          <w:p w:rsidR="006214E9" w:rsidRPr="006214E9" w:rsidRDefault="006214E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მოვალეობის შემსრულებელი</w:t>
            </w:r>
          </w:p>
        </w:tc>
      </w:tr>
      <w:tr w:rsidR="00BD6A44" w:rsidTr="006214E9">
        <w:trPr>
          <w:trHeight w:val="1370"/>
        </w:trPr>
        <w:tc>
          <w:tcPr>
            <w:tcW w:w="3654" w:type="dxa"/>
          </w:tcPr>
          <w:p w:rsidR="00BD6A44" w:rsidRDefault="00DB23C2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შრომის</w:t>
            </w:r>
            <w:r w:rsidR="00BD6A44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ა და დასაქმების 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პოლიტიკა;</w:t>
            </w:r>
          </w:p>
          <w:p w:rsidR="00567563" w:rsidRPr="00DB23C2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შრომის </w:t>
            </w:r>
            <w:r w:rsidR="00DB23C2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ბაზარი; </w:t>
            </w: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ლეგალური დასაქმება/შრომითი მიგარაცია.</w:t>
            </w:r>
          </w:p>
        </w:tc>
        <w:tc>
          <w:tcPr>
            <w:tcW w:w="2934" w:type="dxa"/>
          </w:tcPr>
          <w:p w:rsidR="00567563" w:rsidRDefault="006214E9" w:rsidP="006214E9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 w:rsidRPr="006214E9">
              <w:rPr>
                <w:rFonts w:ascii="Sylfaen" w:hAnsi="Sylfaen" w:cs="Sylfaen"/>
                <w:color w:val="000000" w:themeColor="text1"/>
                <w:sz w:val="24"/>
                <w:szCs w:val="24"/>
                <w:lang w:val="ka-GE"/>
              </w:rPr>
              <w:t>პაატა</w:t>
            </w:r>
            <w:r w:rsidRPr="006214E9"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ჟორჟოლიანი</w:t>
            </w:r>
          </w:p>
          <w:p w:rsidR="006214E9" w:rsidRDefault="006214E9" w:rsidP="006214E9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თეა ახვლედიანი </w:t>
            </w:r>
          </w:p>
          <w:p w:rsidR="006214E9" w:rsidRPr="006214E9" w:rsidRDefault="006214E9" w:rsidP="006214E9">
            <w:pPr>
              <w:pStyle w:val="ListParagraph"/>
              <w:numPr>
                <w:ilvl w:val="0"/>
                <w:numId w:val="4"/>
              </w:num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გიორგი ბუნტური</w:t>
            </w:r>
          </w:p>
          <w:p w:rsidR="006214E9" w:rsidRDefault="006214E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6214E9" w:rsidRDefault="006214E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6214E9" w:rsidRDefault="006214E9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</w:tcPr>
          <w:p w:rsidR="00567563" w:rsidRDefault="006214E9" w:rsidP="006214E9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590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 w:rsidRPr="006214E9">
              <w:rPr>
                <w:rFonts w:ascii="Sylfaen" w:eastAsia="Times New Roman" w:hAnsi="Sylfaen" w:cs="Sylfaen"/>
              </w:rPr>
              <w:t>შრომისა</w:t>
            </w:r>
            <w:proofErr w:type="spellEnd"/>
            <w:r w:rsidRPr="006214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4E9">
              <w:rPr>
                <w:rFonts w:ascii="Sylfaen" w:eastAsia="Times New Roman" w:hAnsi="Sylfaen" w:cs="Sylfaen"/>
              </w:rPr>
              <w:t>და</w:t>
            </w:r>
            <w:proofErr w:type="spellEnd"/>
            <w:r w:rsidRPr="006214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4E9"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 w:rsidRPr="006214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4E9"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 w:rsidRPr="006214E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6214E9"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 w:rsidRPr="006214E9">
              <w:rPr>
                <w:rFonts w:ascii="Sylfaen" w:eastAsia="Times New Roman" w:hAnsi="Sylfaen" w:cs="Sylfaen"/>
                <w:lang w:val="ka-GE"/>
              </w:rPr>
              <w:t xml:space="preserve"> დეპარტამენტის უფროსის</w:t>
            </w:r>
            <w:r>
              <w:rPr>
                <w:rFonts w:ascii="Sylfaen" w:eastAsia="Times New Roman" w:hAnsi="Sylfaen" w:cs="Sylfaen"/>
                <w:lang w:val="ka-GE"/>
              </w:rPr>
              <w:t xml:space="preserve"> </w:t>
            </w:r>
            <w:r w:rsidRPr="006214E9">
              <w:rPr>
                <w:rFonts w:ascii="Sylfaen" w:eastAsia="Times New Roman" w:hAnsi="Sylfaen" w:cs="Sylfaen"/>
                <w:lang w:val="ka-GE"/>
              </w:rPr>
              <w:t>მოვალეობის შემსრულებელი</w:t>
            </w:r>
            <w:r>
              <w:rPr>
                <w:rFonts w:ascii="Sylfaen" w:eastAsia="Times New Roman" w:hAnsi="Sylfaen" w:cs="Sylfaen"/>
                <w:lang w:val="ka-GE"/>
              </w:rPr>
              <w:t>;</w:t>
            </w:r>
          </w:p>
          <w:p w:rsidR="006214E9" w:rsidRDefault="006214E9" w:rsidP="006214E9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590"/>
              <w:rPr>
                <w:rFonts w:ascii="Sylfaen" w:eastAsia="Times New Roman" w:hAnsi="Sylfaen" w:cs="Sylfaen"/>
                <w:lang w:val="ka-GE"/>
              </w:rPr>
            </w:pPr>
            <w:r>
              <w:rPr>
                <w:rFonts w:ascii="Sylfaen" w:eastAsia="Times New Roman" w:hAnsi="Sylfaen" w:cs="Sylfaen"/>
                <w:lang w:val="ka-GE"/>
              </w:rPr>
              <w:t>მინისტრის მოადგილე;</w:t>
            </w:r>
          </w:p>
          <w:p w:rsidR="006214E9" w:rsidRPr="006214E9" w:rsidRDefault="006214E9" w:rsidP="006214E9">
            <w:pPr>
              <w:pStyle w:val="ListParagraph"/>
              <w:numPr>
                <w:ilvl w:val="0"/>
                <w:numId w:val="5"/>
              </w:numPr>
              <w:spacing w:line="276" w:lineRule="auto"/>
              <w:ind w:right="-590"/>
              <w:rPr>
                <w:rFonts w:ascii="Sylfaen" w:eastAsia="Times New Roman" w:hAnsi="Sylfaen" w:cs="Sylfaen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შრომისა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>
              <w:rPr>
                <w:rFonts w:ascii="Sylfaen" w:eastAsia="Times New Roman" w:hAnsi="Sylfaen" w:cs="Sylfaen"/>
                <w:lang w:val="ka-GE"/>
              </w:rPr>
              <w:t xml:space="preserve"> მიგრაციის საკითხთა სამმართველოს უფროსი</w:t>
            </w:r>
          </w:p>
        </w:tc>
      </w:tr>
      <w:tr w:rsidR="00BD6A44" w:rsidTr="006214E9">
        <w:trPr>
          <w:trHeight w:val="1313"/>
        </w:trPr>
        <w:tc>
          <w:tcPr>
            <w:tcW w:w="3654" w:type="dxa"/>
          </w:tcPr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დასაქმების ხელშეწყობა (პროგრამები; აქტივობები)</w:t>
            </w:r>
          </w:p>
        </w:tc>
        <w:tc>
          <w:tcPr>
            <w:tcW w:w="2934" w:type="dxa"/>
          </w:tcPr>
          <w:p w:rsidR="00567563" w:rsidRPr="00EB731B" w:rsidRDefault="00EB731B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დავით ივანიძე</w:t>
            </w:r>
          </w:p>
        </w:tc>
        <w:tc>
          <w:tcPr>
            <w:tcW w:w="4719" w:type="dxa"/>
          </w:tcPr>
          <w:p w:rsidR="00EB731B" w:rsidRDefault="00EB731B" w:rsidP="00EB731B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შრომისა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ხელშეწყობის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სამმართველოს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უფროსი,</w:t>
            </w:r>
          </w:p>
          <w:p w:rsidR="00EB731B" w:rsidRDefault="00EB731B" w:rsidP="00EB731B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მეორადი სტრუქტურული ერთეულის ხელმძღვანელი</w:t>
            </w:r>
          </w:p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6214E9">
        <w:trPr>
          <w:trHeight w:val="1370"/>
        </w:trPr>
        <w:tc>
          <w:tcPr>
            <w:tcW w:w="3654" w:type="dxa"/>
          </w:tcPr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მომზადება/გადამზადება/</w:t>
            </w:r>
          </w:p>
          <w:p w:rsid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კვალიფიკაციის ამაღლება/</w:t>
            </w:r>
          </w:p>
          <w:p w:rsidR="00567563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სტაჟირება</w:t>
            </w:r>
          </w:p>
          <w:p w:rsidR="00BD6A44" w:rsidRPr="00BD6A44" w:rsidRDefault="00BD6A44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2934" w:type="dxa"/>
          </w:tcPr>
          <w:p w:rsidR="00567563" w:rsidRDefault="00EB731B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დავით ივანიძე</w:t>
            </w:r>
          </w:p>
        </w:tc>
        <w:tc>
          <w:tcPr>
            <w:tcW w:w="4719" w:type="dxa"/>
          </w:tcPr>
          <w:p w:rsidR="00EB731B" w:rsidRDefault="00EB731B" w:rsidP="00EB731B">
            <w:pPr>
              <w:rPr>
                <w:rFonts w:ascii="Sylfaen" w:eastAsia="Times New Roman" w:hAnsi="Sylfaen" w:cs="Times New Roman"/>
                <w:lang w:val="ka-GE"/>
              </w:rPr>
            </w:pPr>
            <w:proofErr w:type="spellStart"/>
            <w:r>
              <w:rPr>
                <w:rFonts w:ascii="Sylfaen" w:eastAsia="Times New Roman" w:hAnsi="Sylfaen" w:cs="Sylfaen"/>
              </w:rPr>
              <w:t>შრომისა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პოლიტიკის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დეპარტამენტის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br/>
            </w:r>
            <w:proofErr w:type="spellStart"/>
            <w:r>
              <w:rPr>
                <w:rFonts w:ascii="Sylfaen" w:eastAsia="Times New Roman" w:hAnsi="Sylfaen" w:cs="Sylfaen"/>
              </w:rPr>
              <w:t>დასაქმების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ხელშეწყობის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Sylfaen" w:eastAsia="Times New Roman" w:hAnsi="Sylfaen" w:cs="Sylfaen"/>
              </w:rPr>
              <w:t>სამმართველოს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>
              <w:rPr>
                <w:rFonts w:ascii="Sylfaen" w:eastAsia="Times New Roman" w:hAnsi="Sylfaen" w:cs="Times New Roman"/>
                <w:lang w:val="ka-GE"/>
              </w:rPr>
              <w:t>უფროსი,</w:t>
            </w:r>
          </w:p>
          <w:p w:rsidR="00EB731B" w:rsidRDefault="00EB731B" w:rsidP="00EB731B">
            <w:pPr>
              <w:rPr>
                <w:rFonts w:ascii="Sylfaen" w:eastAsia="Times New Roman" w:hAnsi="Sylfaen" w:cs="Times New Roman"/>
                <w:lang w:val="ka-GE"/>
              </w:rPr>
            </w:pPr>
            <w:r>
              <w:rPr>
                <w:rFonts w:ascii="Sylfaen" w:eastAsia="Times New Roman" w:hAnsi="Sylfaen" w:cs="Times New Roman"/>
                <w:lang w:val="ka-GE"/>
              </w:rPr>
              <w:t>მეორადი სტრუქტურული ერთეულის ხელმძღვანელი</w:t>
            </w:r>
          </w:p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BD6A44" w:rsidTr="006214E9">
        <w:trPr>
          <w:trHeight w:val="1370"/>
        </w:trPr>
        <w:tc>
          <w:tcPr>
            <w:tcW w:w="3654" w:type="dxa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სხვა საკითხები</w:t>
            </w:r>
          </w:p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(გთხოვთ მიუთითოთ </w:t>
            </w:r>
          </w:p>
          <w:p w:rsidR="00567563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დამატებითი საკითხები </w:t>
            </w:r>
            <w:bookmarkStart w:id="0" w:name="_GoBack"/>
            <w:bookmarkEnd w:id="0"/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საჭიროებისამებრ)</w:t>
            </w:r>
          </w:p>
        </w:tc>
        <w:tc>
          <w:tcPr>
            <w:tcW w:w="2934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4719" w:type="dxa"/>
          </w:tcPr>
          <w:p w:rsidR="00567563" w:rsidRDefault="00567563" w:rsidP="00567563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Pr="00567563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BD6A44" w:rsidRPr="00BD6A44" w:rsidRDefault="008242E3" w:rsidP="00BD6A44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  <w:r w:rsidRPr="0085075B">
        <w:rPr>
          <w:rFonts w:ascii="Sylfaen" w:hAnsi="Sylfae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68D76B" wp14:editId="031CF745">
                <wp:simplePos x="0" y="0"/>
                <wp:positionH relativeFrom="margin">
                  <wp:posOffset>-638175</wp:posOffset>
                </wp:positionH>
                <wp:positionV relativeFrom="paragraph">
                  <wp:posOffset>-339090</wp:posOffset>
                </wp:positionV>
                <wp:extent cx="3124200" cy="828675"/>
                <wp:effectExtent l="19050" t="19050" r="19050" b="2857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24200" cy="828675"/>
                        </a:xfrm>
                        <a:prstGeom prst="ellipse">
                          <a:avLst/>
                        </a:prstGeom>
                        <a:noFill/>
                        <a:ln w="28575" cap="flat" cmpd="sng" algn="ctr">
                          <a:solidFill>
                            <a:srgbClr val="9900CC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5099B9CE" id="Oval 6" o:spid="_x0000_s1026" style="position:absolute;margin-left:-50.25pt;margin-top:-26.7pt;width:246pt;height:65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" filled="f" strokecolor="#90c" strokeweight="2.25pt">
                <v:stroke joinstyle="miter"/>
                <w10:wrap anchorx="margin"/>
              </v:oval>
            </w:pict>
          </mc:Fallback>
        </mc:AlternateContent>
      </w:r>
      <w:r w:rsidR="00BD6A44" w:rsidRPr="00AA0076">
        <w:rPr>
          <w:rFonts w:ascii="Sylfaen" w:hAnsi="Sylfaen"/>
          <w:b/>
          <w:color w:val="C00000"/>
          <w:sz w:val="24"/>
          <w:szCs w:val="24"/>
          <w:lang w:val="ka-GE"/>
        </w:rPr>
        <w:t>იძულებით გადაადგილებული პირები</w:t>
      </w:r>
    </w:p>
    <w:p w:rsidR="00C819FE" w:rsidRDefault="00C819FE" w:rsidP="005112AE">
      <w:pPr>
        <w:spacing w:line="276" w:lineRule="auto"/>
        <w:ind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tbl>
      <w:tblPr>
        <w:tblStyle w:val="TableGrid"/>
        <w:tblpPr w:leftFromText="180" w:rightFromText="180" w:vertAnchor="text" w:horzAnchor="page" w:tblpX="646" w:tblpY="169"/>
        <w:tblW w:w="11052" w:type="dxa"/>
        <w:tblLook w:val="04A0" w:firstRow="1" w:lastRow="0" w:firstColumn="1" w:lastColumn="0" w:noHBand="0" w:noVBand="1"/>
      </w:tblPr>
      <w:tblGrid>
        <w:gridCol w:w="4106"/>
        <w:gridCol w:w="3169"/>
        <w:gridCol w:w="3777"/>
      </w:tblGrid>
      <w:tr w:rsidR="008242E3" w:rsidRPr="00567563" w:rsidTr="008242E3">
        <w:trPr>
          <w:trHeight w:val="990"/>
        </w:trPr>
        <w:tc>
          <w:tcPr>
            <w:tcW w:w="4106" w:type="dxa"/>
            <w:shd w:val="clear" w:color="auto" w:fill="AE5DFF"/>
          </w:tcPr>
          <w:p w:rsid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საკითხი</w:t>
            </w:r>
          </w:p>
        </w:tc>
        <w:tc>
          <w:tcPr>
            <w:tcW w:w="3169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 xml:space="preserve">          </w:t>
            </w: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სპიკერები</w:t>
            </w:r>
          </w:p>
        </w:tc>
        <w:tc>
          <w:tcPr>
            <w:tcW w:w="3777" w:type="dxa"/>
            <w:shd w:val="clear" w:color="auto" w:fill="AE5DFF"/>
          </w:tcPr>
          <w:p w:rsidR="00BD6A44" w:rsidRPr="00BD6A44" w:rsidRDefault="00BD6A44" w:rsidP="00BD6A44">
            <w:pPr>
              <w:spacing w:line="276" w:lineRule="auto"/>
              <w:ind w:right="-590"/>
              <w:jc w:val="center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</w:p>
          <w:p w:rsidR="00BD6A44" w:rsidRPr="00BD6A44" w:rsidRDefault="00BD6A44" w:rsidP="00BD6A44">
            <w:pPr>
              <w:spacing w:line="276" w:lineRule="auto"/>
              <w:ind w:right="-590"/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</w:pPr>
            <w:r w:rsidRPr="00BD6A44">
              <w:rPr>
                <w:rFonts w:ascii="Sylfaen" w:hAnsi="Sylfaen"/>
                <w:b/>
                <w:color w:val="F2F2F2" w:themeColor="background1" w:themeShade="F2"/>
                <w:sz w:val="32"/>
                <w:szCs w:val="24"/>
                <w:lang w:val="ka-GE"/>
              </w:rPr>
              <w:t>პოზიცია(თანამდებობა)</w:t>
            </w:r>
          </w:p>
        </w:tc>
      </w:tr>
      <w:tr w:rsidR="008242E3" w:rsidRPr="00567563" w:rsidTr="008242E3">
        <w:trPr>
          <w:trHeight w:val="1112"/>
        </w:trPr>
        <w:tc>
          <w:tcPr>
            <w:tcW w:w="4106" w:type="dxa"/>
          </w:tcPr>
          <w:p w:rsidR="008242E3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გრძელვადიანი</w:t>
            </w:r>
          </w:p>
          <w:p w:rsidR="00BD6A44" w:rsidRPr="00E3264D" w:rsidRDefault="00E3264D" w:rsidP="00BD6A44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 განსახლება </w:t>
            </w:r>
          </w:p>
        </w:tc>
        <w:tc>
          <w:tcPr>
            <w:tcW w:w="3169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  <w:tc>
          <w:tcPr>
            <w:tcW w:w="3777" w:type="dxa"/>
          </w:tcPr>
          <w:p w:rsidR="00BD6A44" w:rsidRPr="00567563" w:rsidRDefault="00BD6A44" w:rsidP="001653D5">
            <w:pPr>
              <w:spacing w:line="276" w:lineRule="auto"/>
              <w:ind w:right="-590"/>
              <w:rPr>
                <w:rFonts w:ascii="Sylfaen" w:hAnsi="Sylfaen"/>
                <w:b/>
                <w:color w:val="000000" w:themeColor="text1"/>
                <w:sz w:val="32"/>
                <w:szCs w:val="24"/>
              </w:rPr>
            </w:pPr>
          </w:p>
        </w:tc>
      </w:tr>
      <w:tr w:rsidR="008242E3" w:rsidTr="008242E3">
        <w:trPr>
          <w:trHeight w:val="1284"/>
        </w:trPr>
        <w:tc>
          <w:tcPr>
            <w:tcW w:w="4106" w:type="dxa"/>
          </w:tcPr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ფულადი შემწეობა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(ყოველთვიური, ერთჯერადი, </w:t>
            </w:r>
          </w:p>
          <w:p w:rsidR="00E3264D" w:rsidRPr="00DB23C2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იპოთეკური სესხი და სხვა)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2236"/>
        </w:trPr>
        <w:tc>
          <w:tcPr>
            <w:tcW w:w="4106" w:type="dxa"/>
          </w:tcPr>
          <w:p w:rsidR="008242E3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საარსებო წყაროებით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უზრუნველყოფა 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 xml:space="preserve">(პროფ.განათლების; </w:t>
            </w:r>
          </w:p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თვითდასაქმების; მეწარმეობის ხელშეწყობა</w:t>
            </w:r>
          </w:p>
          <w:p w:rsidR="00BD6A44" w:rsidRPr="00DB23C2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სხვა პროგრამები)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379"/>
        </w:trPr>
        <w:tc>
          <w:tcPr>
            <w:tcW w:w="4106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დევნილთა სხვა საკითხები</w:t>
            </w:r>
          </w:p>
          <w:p w:rsidR="00E3264D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და ზოგადი პოლიტიკა</w:t>
            </w:r>
          </w:p>
          <w:p w:rsidR="00E3264D" w:rsidRPr="00BD6A44" w:rsidRDefault="00E3264D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  <w:tr w:rsidR="008242E3" w:rsidTr="008242E3">
        <w:trPr>
          <w:trHeight w:val="1467"/>
        </w:trPr>
        <w:tc>
          <w:tcPr>
            <w:tcW w:w="4106" w:type="dxa"/>
          </w:tcPr>
          <w:p w:rsidR="00E3264D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lastRenderedPageBreak/>
              <w:t>სხვა საკითხები</w:t>
            </w:r>
          </w:p>
          <w:p w:rsidR="00BD6A44" w:rsidRPr="005112AE" w:rsidRDefault="00E3264D" w:rsidP="00E3264D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</w:pPr>
            <w:r>
              <w:rPr>
                <w:rFonts w:ascii="Sylfaen" w:hAnsi="Sylfaen"/>
                <w:color w:val="000000" w:themeColor="text1"/>
                <w:sz w:val="24"/>
                <w:szCs w:val="24"/>
                <w:lang w:val="ka-GE"/>
              </w:rPr>
              <w:t>(გთხოვთ მიუთითოთ დამატებითი საკითხები საჭიროებისამებრ)</w:t>
            </w:r>
          </w:p>
        </w:tc>
        <w:tc>
          <w:tcPr>
            <w:tcW w:w="3169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  <w:tc>
          <w:tcPr>
            <w:tcW w:w="3777" w:type="dxa"/>
          </w:tcPr>
          <w:p w:rsidR="00BD6A44" w:rsidRDefault="00BD6A44" w:rsidP="001653D5">
            <w:pPr>
              <w:spacing w:line="276" w:lineRule="auto"/>
              <w:ind w:right="-590"/>
              <w:rPr>
                <w:rFonts w:ascii="Sylfaen" w:hAnsi="Sylfaen"/>
                <w:color w:val="000000" w:themeColor="text1"/>
                <w:sz w:val="24"/>
                <w:szCs w:val="24"/>
              </w:rPr>
            </w:pPr>
          </w:p>
        </w:tc>
      </w:tr>
    </w:tbl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C819FE" w:rsidRDefault="00C819FE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567563" w:rsidRDefault="00567563" w:rsidP="003B516D">
      <w:pPr>
        <w:spacing w:line="276" w:lineRule="auto"/>
        <w:ind w:left="-644" w:right="-590"/>
        <w:rPr>
          <w:rFonts w:ascii="Sylfaen" w:hAnsi="Sylfaen"/>
          <w:color w:val="000000" w:themeColor="text1"/>
          <w:sz w:val="24"/>
          <w:szCs w:val="24"/>
          <w:lang w:val="ka-GE"/>
        </w:rPr>
      </w:pPr>
    </w:p>
    <w:p w:rsidR="0064602C" w:rsidRDefault="0064602C"/>
    <w:sectPr w:rsidR="006460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250CF7"/>
    <w:multiLevelType w:val="hybridMultilevel"/>
    <w:tmpl w:val="E6669D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0F5ABA"/>
    <w:multiLevelType w:val="hybridMultilevel"/>
    <w:tmpl w:val="CBE6CAB8"/>
    <w:lvl w:ilvl="0" w:tplc="0409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2" w15:restartNumberingAfterBreak="0">
    <w:nsid w:val="59A97017"/>
    <w:multiLevelType w:val="hybridMultilevel"/>
    <w:tmpl w:val="ED463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667B74"/>
    <w:multiLevelType w:val="hybridMultilevel"/>
    <w:tmpl w:val="EC425654"/>
    <w:lvl w:ilvl="0" w:tplc="04090001">
      <w:start w:val="1"/>
      <w:numFmt w:val="bullet"/>
      <w:lvlText w:val=""/>
      <w:lvlJc w:val="left"/>
      <w:pPr>
        <w:ind w:left="1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8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5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2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0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7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4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1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895" w:hanging="360"/>
      </w:pPr>
      <w:rPr>
        <w:rFonts w:ascii="Wingdings" w:hAnsi="Wingdings" w:hint="default"/>
      </w:rPr>
    </w:lvl>
  </w:abstractNum>
  <w:abstractNum w:abstractNumId="4" w15:restartNumberingAfterBreak="0">
    <w:nsid w:val="7D6C7D08"/>
    <w:multiLevelType w:val="hybridMultilevel"/>
    <w:tmpl w:val="2DBAAF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9AC"/>
    <w:rsid w:val="00375927"/>
    <w:rsid w:val="003B516D"/>
    <w:rsid w:val="004A09F9"/>
    <w:rsid w:val="004B41C7"/>
    <w:rsid w:val="004B49CE"/>
    <w:rsid w:val="005112AE"/>
    <w:rsid w:val="00567563"/>
    <w:rsid w:val="005C5C88"/>
    <w:rsid w:val="006214E9"/>
    <w:rsid w:val="0064602C"/>
    <w:rsid w:val="008242E3"/>
    <w:rsid w:val="00BA1FF6"/>
    <w:rsid w:val="00BD6A44"/>
    <w:rsid w:val="00C12B1A"/>
    <w:rsid w:val="00C819FE"/>
    <w:rsid w:val="00D22E82"/>
    <w:rsid w:val="00DB23C2"/>
    <w:rsid w:val="00E249AC"/>
    <w:rsid w:val="00E3264D"/>
    <w:rsid w:val="00E41A81"/>
    <w:rsid w:val="00EB731B"/>
    <w:rsid w:val="00FC3148"/>
    <w:rsid w:val="00FC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6FB07"/>
  <w15:docId w15:val="{FA67A7CC-9FDF-47CA-9B25-BF59EFDD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51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Dot pt,F5 List Paragraph,List Paragraph1,List Paragraph Char Char Char,Indicator Text,Colorful List - Accent 11,Numbered Para 1,Bullet 1,Bullet Points,List Paragraph2,MAIN CONTENT,Normal numbered,Issue Action POC,3,POCG Table Text,Ha"/>
    <w:basedOn w:val="Normal"/>
    <w:link w:val="ListParagraphChar"/>
    <w:uiPriority w:val="34"/>
    <w:qFormat/>
    <w:rsid w:val="003B516D"/>
    <w:pPr>
      <w:ind w:left="720"/>
      <w:contextualSpacing/>
    </w:pPr>
  </w:style>
  <w:style w:type="character" w:customStyle="1" w:styleId="ListParagraphChar">
    <w:name w:val="List Paragraph Char"/>
    <w:aliases w:val="Dot pt Char,F5 List Paragraph Char,List Paragraph1 Char,List Paragraph Char Char Char Char,Indicator Text Char,Colorful List - Accent 11 Char,Numbered Para 1 Char,Bullet 1 Char,Bullet Points Char,List Paragraph2 Char,3 Char,Ha Char"/>
    <w:link w:val="ListParagraph"/>
    <w:uiPriority w:val="34"/>
    <w:locked/>
    <w:rsid w:val="003B516D"/>
  </w:style>
  <w:style w:type="table" w:styleId="TableGrid">
    <w:name w:val="Table Grid"/>
    <w:basedOn w:val="TableNormal"/>
    <w:uiPriority w:val="39"/>
    <w:rsid w:val="00C819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mail-msolistparagraph">
    <w:name w:val="gmail-msolistparagraph"/>
    <w:basedOn w:val="Normal"/>
    <w:rsid w:val="00567563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722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 Bakradze</dc:creator>
  <cp:lastModifiedBy>Lika Klimiashvili</cp:lastModifiedBy>
  <cp:revision>5</cp:revision>
  <dcterms:created xsi:type="dcterms:W3CDTF">2019-09-24T11:57:00Z</dcterms:created>
  <dcterms:modified xsi:type="dcterms:W3CDTF">2019-09-24T12:53:00Z</dcterms:modified>
</cp:coreProperties>
</file>